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хроническим гепатитом В из расчета с 37-ой по 48-ю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тромбоцитопения.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B без дельта-агента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