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с хроническим гепатитом С (генотипы 1 и 4) из расчета с 9-ой по 12-ю неделю лечения №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гипертермия; рибавирин-индуцированная анемия; ИФН-индуцированная нейтропения; ИФН-индуцированная тромбоцитопения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B18.2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вирусный гепатит C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Соотношение лейкоцитов в крови (подсчет формулы крови)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цветового показателя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среднего содержания и средней концентрации гемоглобина в эритроцитах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холестерина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тромбоцитарных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церулоплазмина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белка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удельного веса (относительной плотности)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катехоламинов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малонового диальгида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скорости оседания эритроцитов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печени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Рибавирин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Интерфероны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альфа-2a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