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ОСТРОМ ЛИМФОБЛАСТНОМ ЛЕЙКОЗЕ СТАНДАРТНОГО РИСКА, РЕМИССИЯ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Ремиссия - Протокол 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Первый острый период: группа стандартного и промежуточного риска (ремиссия)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Острый лимфобластный лейкоз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крови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водородных ионов (pH)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лекарственных препаратов в спинномозговой канал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лекарственных препаратов в структуры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ликвора из желудочков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Меркаптопурин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фолинат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с удаленным лейкоцитарным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Антирефлюксная смесь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адаптированная молочная смесь  для вскармливания детей с рождения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специализированная смесь без лактозы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