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(острое местное лучевое поражение грудной клетки)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средняя; тяжелая; крайне тяжелая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некрозы; инфицирование; поздняя лучевая язва; фиброз; остеопороз; остеонекроз; остеомиелит; патологический перелом ребра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радиационный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Тепловизорное определение глубины ожога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мокроты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пунктата из ожога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сердца с контрастированием пищевода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кожно-мышечного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-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Амфотерицин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со смягчающим и защитным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Аллилоксиэтанол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