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челюстно-лицевыми аномалиями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Основные аномалии размеров челюстей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Аномалии челюстно-черепных соотношений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Челюстно-лицевые аномалии функционального происхождения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Болезни височно-нижнечелюстного сустава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челюстно-лицевые аномалии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Челюстно-лицевая аномалия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Нарушения развития челюстей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врача-ортодонта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Телерентгенография черепа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Телерентгенография черепа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костей средней зоны лица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объема и формы альвеолярного отростка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